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ordWrap/>
        <w:spacing w:line="240" w:lineRule="auto"/>
        <w:jc w:val="center"/>
        <w:rPr>
          <w:rFonts w:ascii="Times New Roman" w:hAnsi="Times New Roman" w:eastAsia="黑体" w:cs="Times New Roman"/>
          <w:b w:val="0"/>
          <w:bCs/>
          <w:sz w:val="32"/>
          <w:szCs w:val="30"/>
        </w:rPr>
      </w:pPr>
      <w:r>
        <w:rPr>
          <w:rFonts w:hint="eastAsia" w:ascii="Times New Roman" w:hAnsi="Times New Roman" w:eastAsia="黑体" w:cs="Times New Roman"/>
          <w:b w:val="0"/>
          <w:bCs/>
          <w:sz w:val="32"/>
          <w:szCs w:val="30"/>
        </w:rPr>
        <w:t>新建粤东城际铁路潮汕机场至揭阳南段工程</w:t>
      </w:r>
    </w:p>
    <w:p>
      <w:pPr>
        <w:pStyle w:val="4"/>
        <w:wordWrap/>
        <w:spacing w:line="240" w:lineRule="auto"/>
        <w:jc w:val="center"/>
        <w:rPr>
          <w:rFonts w:ascii="Times New Roman" w:hAnsi="Times New Roman" w:eastAsia="黑体" w:cs="Times New Roman"/>
          <w:b w:val="0"/>
          <w:bCs/>
          <w:sz w:val="32"/>
          <w:szCs w:val="30"/>
        </w:rPr>
      </w:pPr>
      <w:r>
        <w:rPr>
          <w:rFonts w:ascii="Times New Roman" w:hAnsi="Times New Roman" w:eastAsia="黑体" w:cs="Times New Roman"/>
          <w:b w:val="0"/>
          <w:bCs/>
          <w:sz w:val="32"/>
          <w:szCs w:val="30"/>
        </w:rPr>
        <w:t>社会稳定风险</w:t>
      </w:r>
      <w:r>
        <w:rPr>
          <w:rFonts w:hint="eastAsia" w:ascii="Times New Roman" w:hAnsi="Times New Roman" w:eastAsia="黑体" w:cs="Times New Roman"/>
          <w:b w:val="0"/>
          <w:bCs/>
          <w:sz w:val="32"/>
          <w:szCs w:val="30"/>
        </w:rPr>
        <w:t>分析</w:t>
      </w:r>
      <w:r>
        <w:rPr>
          <w:rFonts w:ascii="Times New Roman" w:hAnsi="Times New Roman" w:eastAsia="黑体" w:cs="Times New Roman"/>
          <w:b w:val="0"/>
          <w:bCs/>
          <w:sz w:val="32"/>
          <w:szCs w:val="30"/>
        </w:rPr>
        <w:t>公众参与公示</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根据《国家发展改革委关于印发国家发展改革委重大固定资产投资项目社会稳定风险评估暂行办法》（发改投资[2012]2492号）及《国家发展改革委办公厅关于印发重大固定资产投资项目社会稳定风险分析篇章和评估报告编制大纲（试行）》（发改办投资[2013]428号）要求，现将</w:t>
      </w:r>
      <w:r>
        <w:rPr>
          <w:rFonts w:hint="eastAsia" w:ascii="宋体" w:hAnsi="宋体" w:cs="宋体"/>
          <w:bCs/>
          <w:kern w:val="0"/>
          <w:sz w:val="24"/>
          <w:szCs w:val="24"/>
        </w:rPr>
        <w:t>新建粤东城际铁路潮汕机场至揭阳南段工程</w:t>
      </w:r>
      <w:r>
        <w:rPr>
          <w:rFonts w:hint="eastAsia" w:ascii="宋体" w:hAnsi="宋体" w:cs="宋体"/>
          <w:kern w:val="0"/>
          <w:sz w:val="24"/>
          <w:szCs w:val="24"/>
        </w:rPr>
        <w:t>进行社会稳定风险分析进行公示，征求公众对项目建设的意见和建议。</w:t>
      </w:r>
    </w:p>
    <w:p>
      <w:pPr>
        <w:widowControl/>
        <w:spacing w:line="500" w:lineRule="exact"/>
        <w:ind w:firstLine="472" w:firstLineChars="196"/>
        <w:jc w:val="left"/>
        <w:rPr>
          <w:rFonts w:ascii="宋体" w:hAnsi="宋体" w:cs="宋体"/>
          <w:b/>
          <w:kern w:val="0"/>
          <w:sz w:val="24"/>
          <w:szCs w:val="24"/>
        </w:rPr>
      </w:pPr>
      <w:r>
        <w:rPr>
          <w:rFonts w:hint="eastAsia" w:ascii="宋体" w:hAnsi="宋体" w:cs="宋体"/>
          <w:b/>
          <w:kern w:val="0"/>
          <w:sz w:val="24"/>
          <w:szCs w:val="24"/>
        </w:rPr>
        <w:t>一、项目名称及概况</w:t>
      </w:r>
    </w:p>
    <w:p>
      <w:pPr>
        <w:widowControl/>
        <w:spacing w:line="500" w:lineRule="exact"/>
        <w:ind w:firstLine="360" w:firstLineChars="150"/>
        <w:jc w:val="left"/>
        <w:rPr>
          <w:rFonts w:ascii="宋体" w:hAnsi="宋体" w:cs="宋体"/>
          <w:kern w:val="0"/>
          <w:sz w:val="24"/>
          <w:szCs w:val="24"/>
        </w:rPr>
      </w:pPr>
      <w:r>
        <w:rPr>
          <w:rFonts w:hint="eastAsia" w:ascii="宋体" w:hAnsi="宋体" w:cs="宋体"/>
          <w:kern w:val="0"/>
          <w:sz w:val="24"/>
          <w:szCs w:val="24"/>
        </w:rPr>
        <w:t>（一）项目名称</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新建粤东城际铁路潮汕机场至揭阳南段</w:t>
      </w:r>
    </w:p>
    <w:p>
      <w:pPr>
        <w:widowControl/>
        <w:spacing w:line="500" w:lineRule="exact"/>
        <w:ind w:firstLine="360" w:firstLineChars="150"/>
        <w:jc w:val="left"/>
        <w:rPr>
          <w:rFonts w:ascii="宋体" w:hAnsi="宋体" w:cs="宋体"/>
          <w:kern w:val="0"/>
          <w:sz w:val="24"/>
          <w:szCs w:val="24"/>
        </w:rPr>
      </w:pPr>
      <w:r>
        <w:rPr>
          <w:rFonts w:hint="eastAsia" w:ascii="宋体" w:hAnsi="宋体" w:cs="宋体"/>
          <w:kern w:val="0"/>
          <w:sz w:val="24"/>
          <w:szCs w:val="24"/>
        </w:rPr>
        <w:t>（二）项目概况</w:t>
      </w:r>
    </w:p>
    <w:p>
      <w:pPr>
        <w:widowControl/>
        <w:spacing w:line="500" w:lineRule="exact"/>
        <w:ind w:firstLine="470" w:firstLineChars="196"/>
        <w:rPr>
          <w:rFonts w:ascii="宋体" w:hAnsi="宋体" w:cs="宋体"/>
          <w:kern w:val="0"/>
          <w:sz w:val="24"/>
          <w:szCs w:val="24"/>
        </w:rPr>
      </w:pPr>
      <w:bookmarkStart w:id="0" w:name="_Hlk61857879"/>
      <w:r>
        <w:rPr>
          <w:rFonts w:hint="eastAsia" w:ascii="宋体" w:hAnsi="宋体" w:cs="宋体"/>
          <w:bCs/>
          <w:kern w:val="0"/>
          <w:sz w:val="24"/>
          <w:szCs w:val="24"/>
        </w:rPr>
        <w:t>新建粤东城际铁路潮汕机场至揭阳南段</w:t>
      </w:r>
      <w:r>
        <w:rPr>
          <w:rFonts w:hint="eastAsia" w:ascii="宋体" w:hAnsi="宋体" w:cs="宋体"/>
          <w:kern w:val="0"/>
          <w:sz w:val="24"/>
          <w:szCs w:val="24"/>
        </w:rPr>
        <w:t>线路东起潮汕机场站，向西沿望江北路走行后，向北折向莲花大道，进入揭阳南站。线路途径揭阳市榕城区，全长约16km；全线共设</w:t>
      </w:r>
      <w:r>
        <w:rPr>
          <w:rFonts w:ascii="宋体" w:hAnsi="宋体" w:cs="宋体"/>
          <w:kern w:val="0"/>
          <w:sz w:val="24"/>
          <w:szCs w:val="24"/>
        </w:rPr>
        <w:t>2</w:t>
      </w:r>
      <w:r>
        <w:rPr>
          <w:rFonts w:hint="eastAsia" w:ascii="宋体" w:hAnsi="宋体" w:cs="宋体"/>
          <w:kern w:val="0"/>
          <w:sz w:val="24"/>
          <w:szCs w:val="24"/>
        </w:rPr>
        <w:t>座车站，均位于揭阳市（揭阳南、渔湖）。</w:t>
      </w:r>
    </w:p>
    <w:bookmarkEnd w:id="0"/>
    <w:p>
      <w:pPr>
        <w:widowControl/>
        <w:spacing w:line="500" w:lineRule="exact"/>
        <w:ind w:firstLine="472" w:firstLineChars="196"/>
        <w:jc w:val="left"/>
        <w:rPr>
          <w:rFonts w:ascii="宋体" w:hAnsi="宋体" w:cs="宋体"/>
          <w:b/>
          <w:bCs/>
          <w:kern w:val="0"/>
          <w:sz w:val="24"/>
          <w:szCs w:val="24"/>
        </w:rPr>
      </w:pPr>
      <w:r>
        <w:rPr>
          <w:rFonts w:hint="eastAsia" w:ascii="宋体" w:hAnsi="宋体" w:cs="宋体"/>
          <w:b/>
          <w:kern w:val="0"/>
          <w:sz w:val="24"/>
          <w:szCs w:val="24"/>
        </w:rPr>
        <w:t>二、</w:t>
      </w:r>
      <w:r>
        <w:rPr>
          <w:rFonts w:hint="eastAsia" w:ascii="宋体" w:hAnsi="宋体" w:cs="宋体"/>
          <w:b/>
          <w:bCs/>
          <w:kern w:val="0"/>
          <w:sz w:val="24"/>
          <w:szCs w:val="24"/>
        </w:rPr>
        <w:t>社会稳定风险分析的主要内容</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对新建粤东城际铁路潮汕机场至揭阳南段工程建设可能引起社会风险因素进行分析。针对规划的合法性（政策规划和审批程序）；合理性（征地拆迁及补偿、生态环境、噪声振动、文物、电磁辐射及交通拥堵等）、可行性（规划方案、建设条件和建设时机）、可控性（运营安全、社会舆论）四个方面进行规划“风险调查、风险识别、风险估计、风险防范和化解措施、风险等级综合评判、风险结论”逐层分析。</w:t>
      </w:r>
    </w:p>
    <w:p>
      <w:pPr>
        <w:widowControl/>
        <w:spacing w:line="500" w:lineRule="exact"/>
        <w:ind w:firstLine="472" w:firstLineChars="196"/>
        <w:jc w:val="left"/>
        <w:rPr>
          <w:rFonts w:ascii="宋体" w:hAnsi="宋体" w:cs="宋体"/>
          <w:b/>
          <w:bCs/>
          <w:kern w:val="0"/>
          <w:sz w:val="24"/>
          <w:szCs w:val="24"/>
        </w:rPr>
      </w:pPr>
      <w:r>
        <w:rPr>
          <w:rFonts w:hint="eastAsia" w:ascii="宋体" w:hAnsi="宋体" w:cs="宋体"/>
          <w:b/>
          <w:bCs/>
          <w:kern w:val="0"/>
          <w:sz w:val="24"/>
          <w:szCs w:val="24"/>
        </w:rPr>
        <w:t>三、征求公众意见的范围和主要事项</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（一）征求公众意见的范围</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规划线路两侧影响范围内的居民、商铺及企事业单位。</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（二）征求公众意见的主要事项</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1、公众对该建设方案实施的态度；</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2、该建设方案实施对当地经济发展和交通出行的作用；</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3、该建设方案实施对当地社会稳定有何主要风险；</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4、公众的其他意见和建议。</w:t>
      </w:r>
    </w:p>
    <w:p>
      <w:pPr>
        <w:widowControl/>
        <w:spacing w:line="500" w:lineRule="exact"/>
        <w:ind w:firstLine="472" w:firstLineChars="196"/>
        <w:jc w:val="left"/>
        <w:rPr>
          <w:rFonts w:ascii="宋体" w:hAnsi="宋体" w:cs="宋体"/>
          <w:kern w:val="0"/>
          <w:sz w:val="24"/>
          <w:szCs w:val="24"/>
        </w:rPr>
      </w:pPr>
      <w:r>
        <w:rPr>
          <w:rFonts w:hint="eastAsia" w:ascii="宋体" w:hAnsi="宋体" w:cs="宋体"/>
          <w:b/>
          <w:bCs/>
          <w:kern w:val="0"/>
          <w:sz w:val="24"/>
          <w:szCs w:val="24"/>
        </w:rPr>
        <w:t>四、公众参与主要方式</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即日起，公众可通过电子邮件、信函、电话等方式向建设单位、社稳分析单位发表对项目建设社会稳定风险方面的意见和建议。</w:t>
      </w:r>
    </w:p>
    <w:p>
      <w:pPr>
        <w:widowControl/>
        <w:spacing w:line="500" w:lineRule="exact"/>
        <w:ind w:firstLine="480" w:firstLineChars="200"/>
        <w:jc w:val="left"/>
        <w:rPr>
          <w:rFonts w:ascii="宋体" w:hAnsi="宋体" w:cs="宋体"/>
          <w:kern w:val="0"/>
          <w:sz w:val="24"/>
          <w:szCs w:val="24"/>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23"/>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vMerge w:val="restar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单位名称</w:t>
            </w: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咨询单位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vMerge w:val="continue"/>
            <w:shd w:val="clear" w:color="auto" w:fill="auto"/>
            <w:vAlign w:val="center"/>
          </w:tcPr>
          <w:p>
            <w:pPr>
              <w:topLinePunct/>
              <w:snapToGrid w:val="0"/>
              <w:jc w:val="center"/>
              <w:rPr>
                <w:rFonts w:ascii="Times New Roman" w:hAnsi="Times New Roman"/>
                <w:sz w:val="20"/>
                <w:szCs w:val="20"/>
              </w:rPr>
            </w:pP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中铁工程设计咨询集团有限公司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地址</w:t>
            </w: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北京市丰台区广安路15号</w:t>
            </w:r>
          </w:p>
          <w:p>
            <w:pPr>
              <w:topLinePunct/>
              <w:snapToGrid w:val="0"/>
              <w:jc w:val="center"/>
              <w:rPr>
                <w:rFonts w:ascii="Times New Roman" w:hAnsi="Times New Roman"/>
                <w:sz w:val="20"/>
                <w:szCs w:val="20"/>
              </w:rPr>
            </w:pPr>
            <w:r>
              <w:rPr>
                <w:rFonts w:ascii="Times New Roman" w:hAnsi="Times New Roman"/>
                <w:sz w:val="20"/>
                <w:szCs w:val="20"/>
              </w:rPr>
              <w:t>中铁咨询大厦</w:t>
            </w:r>
            <w:r>
              <w:rPr>
                <w:rFonts w:hint="eastAsia" w:ascii="Times New Roman" w:hAnsi="Times New Roman"/>
                <w:sz w:val="20"/>
                <w:szCs w:val="20"/>
              </w:rPr>
              <w:t>905</w:t>
            </w:r>
            <w:r>
              <w:rPr>
                <w:rFonts w:ascii="Times New Roman" w:hAnsi="Times New Roman"/>
                <w:sz w:val="20"/>
                <w:szCs w:val="20"/>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hint="eastAsia" w:ascii="Times New Roman" w:hAnsi="Times New Roman"/>
                <w:sz w:val="20"/>
                <w:szCs w:val="20"/>
              </w:rPr>
              <w:t>邮编</w:t>
            </w:r>
          </w:p>
        </w:tc>
        <w:tc>
          <w:tcPr>
            <w:tcW w:w="3483" w:type="pct"/>
            <w:shd w:val="clear" w:color="auto" w:fill="auto"/>
            <w:vAlign w:val="center"/>
          </w:tcPr>
          <w:p>
            <w:pPr>
              <w:topLinePunct/>
              <w:snapToGrid w:val="0"/>
              <w:jc w:val="center"/>
              <w:rPr>
                <w:rFonts w:ascii="Times New Roman" w:hAnsi="Times New Roman"/>
                <w:sz w:val="20"/>
                <w:szCs w:val="20"/>
              </w:rPr>
            </w:pPr>
            <w:r>
              <w:rPr>
                <w:rFonts w:hint="eastAsia" w:ascii="Times New Roman" w:hAnsi="Times New Roman"/>
                <w:sz w:val="20"/>
                <w:szCs w:val="20"/>
              </w:rPr>
              <w:t>100055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联系人</w:t>
            </w:r>
          </w:p>
        </w:tc>
        <w:tc>
          <w:tcPr>
            <w:tcW w:w="3483" w:type="pct"/>
            <w:shd w:val="clear" w:color="auto" w:fill="auto"/>
            <w:vAlign w:val="center"/>
          </w:tcPr>
          <w:p>
            <w:pPr>
              <w:topLinePunct/>
              <w:snapToGrid w:val="0"/>
              <w:jc w:val="center"/>
              <w:rPr>
                <w:rFonts w:ascii="Times New Roman" w:hAnsi="Times New Roman"/>
                <w:sz w:val="20"/>
                <w:szCs w:val="20"/>
              </w:rPr>
            </w:pPr>
            <w:r>
              <w:rPr>
                <w:rFonts w:hint="eastAsia" w:ascii="Times New Roman" w:hAnsi="Times New Roman"/>
                <w:sz w:val="20"/>
                <w:szCs w:val="20"/>
              </w:rPr>
              <w:t>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联系电话</w:t>
            </w: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kern w:val="0"/>
                <w:sz w:val="20"/>
                <w:szCs w:val="20"/>
              </w:rPr>
              <w:t>010-5269</w:t>
            </w:r>
            <w:r>
              <w:rPr>
                <w:rFonts w:hint="eastAsia" w:ascii="Times New Roman" w:hAnsi="Times New Roman"/>
                <w:kern w:val="0"/>
                <w:sz w:val="20"/>
                <w:szCs w:val="20"/>
              </w:rPr>
              <w:t>65</w:t>
            </w:r>
            <w:r>
              <w:rPr>
                <w:rFonts w:ascii="Times New Roman" w:hAnsi="Times New Roman"/>
                <w:kern w:val="0"/>
                <w:sz w:val="20"/>
                <w:szCs w:val="2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电子邮箱</w:t>
            </w: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gaowj223@qq.com</w:t>
            </w:r>
          </w:p>
        </w:tc>
      </w:tr>
    </w:tbl>
    <w:p>
      <w:pPr>
        <w:widowControl/>
        <w:spacing w:line="500" w:lineRule="exact"/>
        <w:ind w:firstLine="472" w:firstLineChars="196"/>
        <w:jc w:val="left"/>
        <w:rPr>
          <w:rFonts w:ascii="宋体" w:hAnsi="宋体" w:cs="宋体"/>
          <w:kern w:val="0"/>
          <w:sz w:val="24"/>
          <w:szCs w:val="24"/>
        </w:rPr>
      </w:pPr>
      <w:r>
        <w:rPr>
          <w:rFonts w:hint="eastAsia" w:ascii="宋体" w:hAnsi="宋体" w:cs="宋体"/>
          <w:b/>
          <w:bCs/>
          <w:kern w:val="0"/>
          <w:sz w:val="24"/>
          <w:szCs w:val="24"/>
        </w:rPr>
        <w:t>五、信息发布有效期限</w:t>
      </w:r>
      <w:r>
        <w:rPr>
          <w:rFonts w:hint="eastAsia" w:ascii="宋体" w:hAnsi="宋体" w:cs="宋体"/>
          <w:b/>
          <w:bCs/>
          <w:kern w:val="0"/>
          <w:sz w:val="24"/>
          <w:szCs w:val="24"/>
        </w:rPr>
        <w:br w:type="textWrapping"/>
      </w:r>
      <w:r>
        <w:rPr>
          <w:rFonts w:hint="eastAsia" w:ascii="宋体" w:hAnsi="宋体" w:cs="宋体"/>
          <w:kern w:val="0"/>
          <w:sz w:val="24"/>
          <w:szCs w:val="24"/>
        </w:rPr>
        <w:t>　　自本公示登出后十个工作日内。</w:t>
      </w:r>
    </w:p>
    <w:p>
      <w:pPr>
        <w:widowControl/>
        <w:jc w:val="left"/>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D37DE"/>
    <w:rsid w:val="56CD3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环小四表题"/>
    <w:basedOn w:val="1"/>
    <w:qFormat/>
    <w:uiPriority w:val="0"/>
    <w:pPr>
      <w:wordWrap w:val="0"/>
      <w:spacing w:line="400" w:lineRule="exact"/>
      <w:jc w:val="right"/>
    </w:pPr>
    <w:rPr>
      <w:rFonts w:ascii="宋体" w:cs="黑体"/>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2021-01-26T03:06:00Z</dcterms:created>
  <dc:creator>user</dc:creator>
  <cp:lastModifiedBy>user</cp:lastModifiedBy>
  <dcterms:modified xsi:type="dcterms:W3CDTF">2021-01-26T03:06:41Z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